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05D6" w14:textId="77777777" w:rsidR="00214F1E" w:rsidRDefault="00FD55BC" w:rsidP="00B36AA9">
      <w:pPr>
        <w:spacing w:after="0" w:line="240" w:lineRule="exact"/>
        <w:jc w:val="center"/>
        <w:rPr>
          <w:rFonts w:ascii="Calibri" w:hAnsi="Calibri" w:cs="Calibri"/>
          <w:b/>
          <w:bCs/>
        </w:rPr>
      </w:pPr>
      <w:r w:rsidRPr="007F46FC">
        <w:rPr>
          <w:rFonts w:ascii="Calibri" w:hAnsi="Calibri" w:cs="Calibri"/>
          <w:b/>
          <w:bCs/>
        </w:rPr>
        <w:t>Chariton Free Public</w:t>
      </w:r>
      <w:r w:rsidRPr="00A92F97">
        <w:rPr>
          <w:rFonts w:ascii="Calibri" w:hAnsi="Calibri" w:cs="Calibri"/>
          <w:b/>
          <w:bCs/>
        </w:rPr>
        <w:t xml:space="preserve"> Library </w:t>
      </w:r>
    </w:p>
    <w:p w14:paraId="60718558" w14:textId="7B5FB6B4" w:rsidR="00FD55BC" w:rsidRDefault="00FD55BC" w:rsidP="00B36AA9">
      <w:pPr>
        <w:spacing w:after="0" w:line="240" w:lineRule="exact"/>
        <w:jc w:val="center"/>
        <w:rPr>
          <w:rFonts w:ascii="Calibri" w:hAnsi="Calibri" w:cs="Calibri"/>
          <w:b/>
          <w:bCs/>
        </w:rPr>
      </w:pPr>
      <w:r w:rsidRPr="00A92F97">
        <w:rPr>
          <w:rFonts w:ascii="Calibri" w:hAnsi="Calibri" w:cs="Calibri"/>
          <w:b/>
          <w:bCs/>
        </w:rPr>
        <w:t>Board Meeting</w:t>
      </w:r>
      <w:r w:rsidRPr="007F46FC">
        <w:rPr>
          <w:rFonts w:ascii="Calibri" w:hAnsi="Calibri" w:cs="Calibri"/>
          <w:b/>
          <w:bCs/>
        </w:rPr>
        <w:t xml:space="preserve"> Policy</w:t>
      </w:r>
    </w:p>
    <w:p w14:paraId="75C902DE" w14:textId="02254E80" w:rsidR="00214F1E" w:rsidRPr="00A92F97" w:rsidRDefault="00F5445B" w:rsidP="004A12EC">
      <w:pPr>
        <w:spacing w:after="120" w:line="240" w:lineRule="auto"/>
        <w:jc w:val="center"/>
        <w:rPr>
          <w:rFonts w:ascii="Calibri" w:hAnsi="Calibri" w:cs="Calibri"/>
          <w:b/>
          <w:bCs/>
        </w:rPr>
      </w:pPr>
      <w:r w:rsidRPr="00F5445B">
        <w:rPr>
          <w:rFonts w:ascii="Calibri" w:hAnsi="Calibri" w:cs="Calibri"/>
          <w:b/>
          <w:bCs/>
          <w:sz w:val="20"/>
          <w:szCs w:val="20"/>
        </w:rPr>
        <w:t>(Approved 3/12/26)</w:t>
      </w:r>
    </w:p>
    <w:p w14:paraId="7E156FEF" w14:textId="77777777" w:rsidR="00FD55BC" w:rsidRPr="007F46FC" w:rsidRDefault="00FD55BC" w:rsidP="00B36AA9">
      <w:pPr>
        <w:spacing w:after="120" w:line="240" w:lineRule="auto"/>
        <w:rPr>
          <w:rFonts w:ascii="Calibri" w:hAnsi="Calibri" w:cs="Calibri"/>
        </w:rPr>
      </w:pPr>
      <w:r w:rsidRPr="00A92F97">
        <w:rPr>
          <w:rFonts w:ascii="Calibri" w:hAnsi="Calibri" w:cs="Calibri"/>
        </w:rPr>
        <w:t>Th</w:t>
      </w:r>
      <w:r w:rsidRPr="007F46FC">
        <w:rPr>
          <w:rFonts w:ascii="Calibri" w:hAnsi="Calibri" w:cs="Calibri"/>
        </w:rPr>
        <w:t>is</w:t>
      </w:r>
      <w:r w:rsidRPr="00A92F97">
        <w:rPr>
          <w:rFonts w:ascii="Calibri" w:hAnsi="Calibri" w:cs="Calibri"/>
        </w:rPr>
        <w:t xml:space="preserve"> policy serves to ensure transparency, accountability, and efficient decision-making for the </w:t>
      </w:r>
      <w:r w:rsidRPr="007F46FC">
        <w:rPr>
          <w:rFonts w:ascii="Calibri" w:hAnsi="Calibri" w:cs="Calibri"/>
        </w:rPr>
        <w:t>B</w:t>
      </w:r>
      <w:r w:rsidRPr="00A92F97">
        <w:rPr>
          <w:rFonts w:ascii="Calibri" w:hAnsi="Calibri" w:cs="Calibri"/>
        </w:rPr>
        <w:t xml:space="preserve">oard, which is responsible for the </w:t>
      </w:r>
      <w:r w:rsidRPr="007F46FC">
        <w:rPr>
          <w:rFonts w:ascii="Calibri" w:hAnsi="Calibri" w:cs="Calibri"/>
        </w:rPr>
        <w:t>L</w:t>
      </w:r>
      <w:r w:rsidRPr="00A92F97">
        <w:rPr>
          <w:rFonts w:ascii="Calibri" w:hAnsi="Calibri" w:cs="Calibri"/>
        </w:rPr>
        <w:t>ibrary's overall stewardship. </w:t>
      </w:r>
    </w:p>
    <w:p w14:paraId="2F90282A" w14:textId="40BF97AD" w:rsidR="005C3B2F" w:rsidRDefault="00FD55BC" w:rsidP="00B36AA9">
      <w:pPr>
        <w:spacing w:after="120" w:line="240" w:lineRule="auto"/>
        <w:rPr>
          <w:rFonts w:ascii="Calibri" w:hAnsi="Calibri" w:cs="Calibri"/>
        </w:rPr>
      </w:pPr>
      <w:r w:rsidRPr="00A92F97">
        <w:rPr>
          <w:rFonts w:ascii="Calibri" w:hAnsi="Calibri" w:cs="Calibri"/>
        </w:rPr>
        <w:t xml:space="preserve">The Library Board </w:t>
      </w:r>
      <w:r w:rsidRPr="007F46FC">
        <w:rPr>
          <w:rFonts w:ascii="Calibri" w:hAnsi="Calibri" w:cs="Calibri"/>
        </w:rPr>
        <w:t xml:space="preserve">meets monthly on the second Thursday of the month at 5:30 pm. </w:t>
      </w:r>
      <w:r>
        <w:rPr>
          <w:rFonts w:ascii="Calibri" w:hAnsi="Calibri" w:cs="Calibri"/>
        </w:rPr>
        <w:t>Online access for each meeting is included in the posted agenda.</w:t>
      </w:r>
      <w:r w:rsidR="00567434">
        <w:rPr>
          <w:rFonts w:ascii="Calibri" w:hAnsi="Calibri" w:cs="Calibri"/>
        </w:rPr>
        <w:t xml:space="preserve"> Agendas are posted twenty-four hours prior to each meeting. </w:t>
      </w:r>
      <w:r w:rsidR="00567434" w:rsidRPr="00567434">
        <w:rPr>
          <w:rFonts w:ascii="Calibri" w:hAnsi="Calibri" w:cs="Calibri"/>
        </w:rPr>
        <w:t>The Board is committed to conducting its meetings in a</w:t>
      </w:r>
      <w:r w:rsidR="00567434">
        <w:rPr>
          <w:rFonts w:ascii="Calibri" w:hAnsi="Calibri" w:cs="Calibri"/>
        </w:rPr>
        <w:t xml:space="preserve">n </w:t>
      </w:r>
      <w:r w:rsidR="00567434" w:rsidRPr="00567434">
        <w:rPr>
          <w:rFonts w:ascii="Calibri" w:hAnsi="Calibri" w:cs="Calibri"/>
        </w:rPr>
        <w:t>orderly, efficient and productive manner allow</w:t>
      </w:r>
      <w:r w:rsidR="00567434">
        <w:rPr>
          <w:rFonts w:ascii="Calibri" w:hAnsi="Calibri" w:cs="Calibri"/>
        </w:rPr>
        <w:t>ing</w:t>
      </w:r>
      <w:r w:rsidR="00567434" w:rsidRPr="00567434">
        <w:rPr>
          <w:rFonts w:ascii="Calibri" w:hAnsi="Calibri" w:cs="Calibri"/>
        </w:rPr>
        <w:t xml:space="preserve"> the Board’s regular agenda to be comp</w:t>
      </w:r>
      <w:r w:rsidR="00611608">
        <w:rPr>
          <w:rFonts w:ascii="Calibri" w:hAnsi="Calibri" w:cs="Calibri"/>
        </w:rPr>
        <w:t>l</w:t>
      </w:r>
      <w:r w:rsidR="00567434" w:rsidRPr="00567434">
        <w:rPr>
          <w:rFonts w:ascii="Calibri" w:hAnsi="Calibri" w:cs="Calibri"/>
        </w:rPr>
        <w:t xml:space="preserve">eted. </w:t>
      </w:r>
    </w:p>
    <w:p w14:paraId="2BB5B338" w14:textId="20DB47EE" w:rsidR="00567434" w:rsidRDefault="005C3B2F" w:rsidP="00B36AA9">
      <w:pPr>
        <w:spacing w:after="240" w:line="240" w:lineRule="auto"/>
        <w:rPr>
          <w:rFonts w:ascii="Calibri" w:hAnsi="Calibri" w:cs="Calibri"/>
        </w:rPr>
      </w:pPr>
      <w:r>
        <w:rPr>
          <w:rFonts w:ascii="Calibri" w:hAnsi="Calibri" w:cs="Calibri"/>
        </w:rPr>
        <w:t>Minutes of each</w:t>
      </w:r>
      <w:r w:rsidRPr="005C3B2F">
        <w:rPr>
          <w:rFonts w:ascii="Calibri" w:hAnsi="Calibri" w:cs="Calibri"/>
        </w:rPr>
        <w:t xml:space="preserve"> meeting summarizing key discussions, decisions, votes, and action items</w:t>
      </w:r>
      <w:r>
        <w:rPr>
          <w:rFonts w:ascii="Calibri" w:hAnsi="Calibri" w:cs="Calibri"/>
        </w:rPr>
        <w:t xml:space="preserve"> are recorded and available </w:t>
      </w:r>
      <w:r w:rsidR="00214F1E">
        <w:rPr>
          <w:rFonts w:ascii="Calibri" w:hAnsi="Calibri" w:cs="Calibri"/>
        </w:rPr>
        <w:t>to the public</w:t>
      </w:r>
      <w:r>
        <w:rPr>
          <w:rFonts w:ascii="Calibri" w:hAnsi="Calibri" w:cs="Calibri"/>
        </w:rPr>
        <w:t>.</w:t>
      </w:r>
    </w:p>
    <w:p w14:paraId="77956E82" w14:textId="7A177A93" w:rsidR="0081691E" w:rsidRPr="0081691E" w:rsidRDefault="0081691E" w:rsidP="00B36AA9">
      <w:pPr>
        <w:spacing w:after="0" w:line="240" w:lineRule="auto"/>
        <w:rPr>
          <w:rFonts w:ascii="Calibri" w:hAnsi="Calibri" w:cs="Calibri"/>
          <w:b/>
          <w:bCs/>
          <w:i/>
          <w:iCs/>
        </w:rPr>
      </w:pPr>
      <w:r>
        <w:rPr>
          <w:rFonts w:ascii="Calibri" w:hAnsi="Calibri" w:cs="Calibri"/>
          <w:b/>
          <w:bCs/>
          <w:i/>
          <w:iCs/>
        </w:rPr>
        <w:t>Code of Iowa</w:t>
      </w:r>
      <w:r w:rsidRPr="0081691E">
        <w:rPr>
          <w:rFonts w:ascii="Calibri" w:hAnsi="Calibri" w:cs="Calibri"/>
          <w:b/>
          <w:bCs/>
          <w:i/>
          <w:iCs/>
        </w:rPr>
        <w:t xml:space="preserve"> Chapter 21.3 Meetings of governmental bodies.</w:t>
      </w:r>
    </w:p>
    <w:p w14:paraId="5C5AF213" w14:textId="086EB74A" w:rsidR="00214F1E" w:rsidRPr="0081691E" w:rsidRDefault="0081691E" w:rsidP="00B36AA9">
      <w:pPr>
        <w:spacing w:after="240" w:line="240" w:lineRule="auto"/>
        <w:ind w:left="270" w:right="360" w:hanging="270"/>
        <w:rPr>
          <w:rFonts w:ascii="Calibri" w:hAnsi="Calibri" w:cs="Calibri"/>
          <w:i/>
          <w:iCs/>
        </w:rPr>
      </w:pPr>
      <w:r w:rsidRPr="00BD348D">
        <w:rPr>
          <w:rFonts w:ascii="Calibri" w:hAnsi="Calibri" w:cs="Calibri"/>
          <w:b/>
          <w:bCs/>
          <w:i/>
          <w:iCs/>
        </w:rPr>
        <w:t>1</w:t>
      </w:r>
      <w:r w:rsidRPr="0081691E">
        <w:rPr>
          <w:rFonts w:ascii="Calibri" w:hAnsi="Calibri" w:cs="Calibri"/>
          <w:i/>
          <w:iCs/>
        </w:rPr>
        <w:t>. Meetings of governmental bodies shall be preceded by public notice as provided in section 21.4 and shall be held in open session unless closed sessions are expressly permitted by law. Except as provided in section 21.5, all actions and discussions at meetings of governmental bodies, whether formal or informal, shall be conducted and executed in open session.</w:t>
      </w:r>
    </w:p>
    <w:p w14:paraId="32A1ADCF" w14:textId="7CC5EDE1" w:rsidR="004618CB" w:rsidRDefault="007F46FC" w:rsidP="00B36AA9">
      <w:pPr>
        <w:spacing w:after="120" w:line="240" w:lineRule="auto"/>
        <w:rPr>
          <w:rFonts w:ascii="Calibri" w:hAnsi="Calibri" w:cs="Calibri"/>
        </w:rPr>
      </w:pPr>
      <w:r w:rsidRPr="007F46FC">
        <w:rPr>
          <w:rFonts w:ascii="Calibri" w:hAnsi="Calibri" w:cs="Calibri"/>
        </w:rPr>
        <w:t xml:space="preserve">All meetings of the Library Board are open to anyone who may wish to observe the proceedings. Public participation at Board meetings is limited to </w:t>
      </w:r>
      <w:r>
        <w:rPr>
          <w:rFonts w:ascii="Calibri" w:hAnsi="Calibri" w:cs="Calibri"/>
        </w:rPr>
        <w:t xml:space="preserve">the </w:t>
      </w:r>
      <w:r w:rsidR="004618CB">
        <w:rPr>
          <w:rFonts w:ascii="Calibri" w:hAnsi="Calibri" w:cs="Calibri"/>
        </w:rPr>
        <w:t>p</w:t>
      </w:r>
      <w:r w:rsidRPr="007F46FC">
        <w:rPr>
          <w:rFonts w:ascii="Calibri" w:hAnsi="Calibri" w:cs="Calibri"/>
        </w:rPr>
        <w:t xml:space="preserve">ublic </w:t>
      </w:r>
      <w:r w:rsidR="004618CB">
        <w:rPr>
          <w:rFonts w:ascii="Calibri" w:hAnsi="Calibri" w:cs="Calibri"/>
        </w:rPr>
        <w:t>f</w:t>
      </w:r>
      <w:r w:rsidRPr="007F46FC">
        <w:rPr>
          <w:rFonts w:ascii="Calibri" w:hAnsi="Calibri" w:cs="Calibri"/>
        </w:rPr>
        <w:t>orum</w:t>
      </w:r>
      <w:r>
        <w:rPr>
          <w:rFonts w:ascii="Calibri" w:hAnsi="Calibri" w:cs="Calibri"/>
        </w:rPr>
        <w:t xml:space="preserve"> as set out in the agenda</w:t>
      </w:r>
      <w:r w:rsidRPr="007F46FC">
        <w:rPr>
          <w:rFonts w:ascii="Calibri" w:hAnsi="Calibri" w:cs="Calibri"/>
        </w:rPr>
        <w:t xml:space="preserve">.  </w:t>
      </w:r>
      <w:r>
        <w:rPr>
          <w:rFonts w:ascii="Calibri" w:hAnsi="Calibri" w:cs="Calibri"/>
        </w:rPr>
        <w:t xml:space="preserve">At all other times during the meeting the public will not be recognized to speak unless </w:t>
      </w:r>
      <w:r w:rsidR="00F86023">
        <w:rPr>
          <w:rFonts w:ascii="Calibri" w:hAnsi="Calibri" w:cs="Calibri"/>
        </w:rPr>
        <w:t xml:space="preserve">requested to do so by the presiding officer. </w:t>
      </w:r>
      <w:r w:rsidRPr="007F46FC">
        <w:rPr>
          <w:rFonts w:ascii="Calibri" w:hAnsi="Calibri" w:cs="Calibri"/>
        </w:rPr>
        <w:t xml:space="preserve">Speakers </w:t>
      </w:r>
      <w:r w:rsidR="00F86023">
        <w:rPr>
          <w:rFonts w:ascii="Calibri" w:hAnsi="Calibri" w:cs="Calibri"/>
        </w:rPr>
        <w:t xml:space="preserve">wishing to address the Board </w:t>
      </w:r>
      <w:r w:rsidRPr="007F46FC">
        <w:rPr>
          <w:rFonts w:ascii="Calibri" w:hAnsi="Calibri" w:cs="Calibri"/>
        </w:rPr>
        <w:t xml:space="preserve">should state their name and purpose and speak for no more than five </w:t>
      </w:r>
      <w:r w:rsidR="00B81322">
        <w:rPr>
          <w:rFonts w:ascii="Calibri" w:hAnsi="Calibri" w:cs="Calibri"/>
        </w:rPr>
        <w:t xml:space="preserve">(5) </w:t>
      </w:r>
      <w:r w:rsidRPr="007F46FC">
        <w:rPr>
          <w:rFonts w:ascii="Calibri" w:hAnsi="Calibri" w:cs="Calibri"/>
        </w:rPr>
        <w:t xml:space="preserve">minutes, unless otherwise permitted by the presiding officer. </w:t>
      </w:r>
    </w:p>
    <w:p w14:paraId="727616EC" w14:textId="5043B897" w:rsidR="007F46FC" w:rsidRDefault="004618CB" w:rsidP="00B36AA9">
      <w:pPr>
        <w:spacing w:after="120" w:line="240" w:lineRule="auto"/>
        <w:rPr>
          <w:rFonts w:ascii="Calibri" w:hAnsi="Calibri" w:cs="Calibri"/>
        </w:rPr>
      </w:pPr>
      <w:r>
        <w:rPr>
          <w:rFonts w:ascii="Calibri" w:hAnsi="Calibri" w:cs="Calibri"/>
        </w:rPr>
        <w:t>Board members may ask questions of the speaker for clarification</w:t>
      </w:r>
      <w:r w:rsidRPr="004618CB">
        <w:rPr>
          <w:rFonts w:ascii="Calibri" w:hAnsi="Calibri" w:cs="Calibri"/>
        </w:rPr>
        <w:t xml:space="preserve">, </w:t>
      </w:r>
      <w:r>
        <w:rPr>
          <w:rFonts w:ascii="Calibri" w:hAnsi="Calibri" w:cs="Calibri"/>
        </w:rPr>
        <w:t xml:space="preserve">but cannot </w:t>
      </w:r>
      <w:r w:rsidRPr="004618CB">
        <w:rPr>
          <w:rFonts w:ascii="Calibri" w:hAnsi="Calibri" w:cs="Calibri"/>
        </w:rPr>
        <w:t xml:space="preserve">engage in discussion or debate during </w:t>
      </w:r>
      <w:r>
        <w:rPr>
          <w:rFonts w:ascii="Calibri" w:hAnsi="Calibri" w:cs="Calibri"/>
        </w:rPr>
        <w:t>public forum</w:t>
      </w:r>
      <w:r w:rsidRPr="004618CB">
        <w:rPr>
          <w:rFonts w:ascii="Calibri" w:hAnsi="Calibri" w:cs="Calibri"/>
        </w:rPr>
        <w:t>.</w:t>
      </w:r>
      <w:r w:rsidR="00446011">
        <w:rPr>
          <w:rFonts w:ascii="Calibri" w:hAnsi="Calibri" w:cs="Calibri"/>
        </w:rPr>
        <w:t xml:space="preserve"> </w:t>
      </w:r>
      <w:r w:rsidR="00C93ACF">
        <w:rPr>
          <w:rFonts w:ascii="Calibri" w:hAnsi="Calibri" w:cs="Calibri"/>
        </w:rPr>
        <w:t>N</w:t>
      </w:r>
      <w:r w:rsidR="007F46FC" w:rsidRPr="007F46FC">
        <w:rPr>
          <w:rFonts w:ascii="Calibri" w:hAnsi="Calibri" w:cs="Calibri"/>
        </w:rPr>
        <w:t xml:space="preserve">o discussion or action on items raised in </w:t>
      </w:r>
      <w:r w:rsidR="00CC574B">
        <w:rPr>
          <w:rFonts w:ascii="Calibri" w:hAnsi="Calibri" w:cs="Calibri"/>
        </w:rPr>
        <w:t>p</w:t>
      </w:r>
      <w:r w:rsidR="007F46FC" w:rsidRPr="007F46FC">
        <w:rPr>
          <w:rFonts w:ascii="Calibri" w:hAnsi="Calibri" w:cs="Calibri"/>
        </w:rPr>
        <w:t xml:space="preserve">ublic </w:t>
      </w:r>
      <w:r w:rsidR="00CC574B">
        <w:rPr>
          <w:rFonts w:ascii="Calibri" w:hAnsi="Calibri" w:cs="Calibri"/>
        </w:rPr>
        <w:t>f</w:t>
      </w:r>
      <w:r w:rsidR="007F46FC" w:rsidRPr="007F46FC">
        <w:rPr>
          <w:rFonts w:ascii="Calibri" w:hAnsi="Calibri" w:cs="Calibri"/>
        </w:rPr>
        <w:t xml:space="preserve">orum can be undertaken at </w:t>
      </w:r>
      <w:r w:rsidR="004A12EC">
        <w:rPr>
          <w:rFonts w:ascii="Calibri" w:hAnsi="Calibri" w:cs="Calibri"/>
        </w:rPr>
        <w:t>a</w:t>
      </w:r>
      <w:r w:rsidR="007F46FC" w:rsidRPr="007F46FC">
        <w:rPr>
          <w:rFonts w:ascii="Calibri" w:hAnsi="Calibri" w:cs="Calibri"/>
        </w:rPr>
        <w:t xml:space="preserve"> meeting</w:t>
      </w:r>
      <w:r w:rsidR="00F86023">
        <w:rPr>
          <w:rFonts w:ascii="Calibri" w:hAnsi="Calibri" w:cs="Calibri"/>
        </w:rPr>
        <w:t xml:space="preserve"> unless </w:t>
      </w:r>
      <w:r w:rsidR="00C93ACF">
        <w:rPr>
          <w:rFonts w:ascii="Calibri" w:hAnsi="Calibri" w:cs="Calibri"/>
        </w:rPr>
        <w:t xml:space="preserve">an </w:t>
      </w:r>
      <w:r w:rsidR="00F86023">
        <w:rPr>
          <w:rFonts w:ascii="Calibri" w:hAnsi="Calibri" w:cs="Calibri"/>
        </w:rPr>
        <w:t>agenda</w:t>
      </w:r>
      <w:r w:rsidR="004A12EC" w:rsidRPr="004A12EC">
        <w:rPr>
          <w:rFonts w:ascii="Calibri" w:hAnsi="Calibri" w:cs="Calibri"/>
        </w:rPr>
        <w:t xml:space="preserve"> </w:t>
      </w:r>
      <w:r w:rsidR="004A12EC">
        <w:rPr>
          <w:rFonts w:ascii="Calibri" w:hAnsi="Calibri" w:cs="Calibri"/>
        </w:rPr>
        <w:t>item</w:t>
      </w:r>
      <w:r w:rsidR="00446011">
        <w:rPr>
          <w:rFonts w:ascii="Calibri" w:hAnsi="Calibri" w:cs="Calibri"/>
        </w:rPr>
        <w:t xml:space="preserve">. </w:t>
      </w:r>
    </w:p>
    <w:p w14:paraId="556DAB18" w14:textId="60269218" w:rsidR="00B8669B" w:rsidRPr="00F63A94" w:rsidRDefault="00F63A94" w:rsidP="00B36AA9">
      <w:pPr>
        <w:spacing w:after="240" w:line="240" w:lineRule="auto"/>
        <w:rPr>
          <w:rFonts w:ascii="Calibri" w:hAnsi="Calibri" w:cs="Calibri"/>
        </w:rPr>
      </w:pPr>
      <w:r>
        <w:rPr>
          <w:rFonts w:ascii="Calibri" w:hAnsi="Calibri" w:cs="Calibri"/>
        </w:rPr>
        <w:t xml:space="preserve">Public Forum during a Library Board meeting shall not be used to solicit funds or other support for an individual or group’s personal or political gain. </w:t>
      </w:r>
    </w:p>
    <w:p w14:paraId="0FE3B40F" w14:textId="3C27DBC3" w:rsidR="00E2458B" w:rsidRPr="00E2458B" w:rsidRDefault="00F63A94" w:rsidP="00B36AA9">
      <w:pPr>
        <w:spacing w:after="0" w:line="240" w:lineRule="auto"/>
        <w:rPr>
          <w:rFonts w:ascii="Calibri" w:hAnsi="Calibri" w:cs="Calibri"/>
          <w:b/>
          <w:bCs/>
          <w:i/>
          <w:iCs/>
        </w:rPr>
      </w:pPr>
      <w:r w:rsidRPr="00F63A94">
        <w:rPr>
          <w:rFonts w:ascii="Calibri" w:hAnsi="Calibri" w:cs="Calibri"/>
          <w:b/>
          <w:bCs/>
          <w:i/>
          <w:iCs/>
        </w:rPr>
        <w:t>Code of Iowa Chapter 351—</w:t>
      </w:r>
      <w:r w:rsidRPr="00F63A94">
        <w:rPr>
          <w:rFonts w:ascii="Calibri" w:hAnsi="Calibri" w:cs="Calibri"/>
          <w:b/>
          <w:bCs/>
        </w:rPr>
        <w:t>5.4(2)</w:t>
      </w:r>
      <w:r w:rsidR="00E2458B" w:rsidRPr="00E2458B">
        <w:rPr>
          <w:rFonts w:ascii="Calibri" w:hAnsi="Calibri" w:cs="Calibri"/>
          <w:b/>
          <w:bCs/>
        </w:rPr>
        <w:t xml:space="preserve"> </w:t>
      </w:r>
      <w:r w:rsidRPr="00F63A94">
        <w:rPr>
          <w:rFonts w:ascii="Calibri" w:hAnsi="Calibri" w:cs="Calibri"/>
          <w:b/>
          <w:bCs/>
        </w:rPr>
        <w:t>b.</w:t>
      </w:r>
      <w:r w:rsidRPr="00F63A94">
        <w:rPr>
          <w:rFonts w:ascii="Calibri" w:hAnsi="Calibri" w:cs="Calibri"/>
        </w:rPr>
        <w:t xml:space="preserve"> </w:t>
      </w:r>
      <w:r w:rsidR="00E2458B" w:rsidRPr="00E2458B">
        <w:rPr>
          <w:rFonts w:ascii="Calibri" w:hAnsi="Calibri" w:cs="Calibri"/>
          <w:b/>
          <w:bCs/>
          <w:i/>
          <w:iCs/>
        </w:rPr>
        <w:t>Specific Prohibitions:</w:t>
      </w:r>
    </w:p>
    <w:p w14:paraId="285B3585" w14:textId="088921D6" w:rsidR="00F63A94" w:rsidRPr="00F63A94" w:rsidRDefault="00F63A94" w:rsidP="00B36AA9">
      <w:pPr>
        <w:spacing w:after="120" w:line="240" w:lineRule="auto"/>
        <w:ind w:left="270" w:right="540"/>
        <w:rPr>
          <w:rFonts w:ascii="Calibri" w:hAnsi="Calibri" w:cs="Calibri"/>
        </w:rPr>
      </w:pPr>
      <w:r w:rsidRPr="00F63A94">
        <w:rPr>
          <w:rFonts w:ascii="Calibri" w:hAnsi="Calibri" w:cs="Calibri"/>
        </w:rPr>
        <w:t>Using public resources to solicit votes, engage in campaign work, or poll voters on their preferences for candidates or ballot issues. The prohibition on polling voters by using public resources does not apply to authorized research at a public university.</w:t>
      </w:r>
    </w:p>
    <w:p w14:paraId="63B673D8" w14:textId="6B49A962" w:rsidR="0081691E" w:rsidRPr="0081691E" w:rsidRDefault="0081691E" w:rsidP="00B36AA9">
      <w:pPr>
        <w:spacing w:before="240" w:after="0" w:line="240" w:lineRule="auto"/>
        <w:rPr>
          <w:rFonts w:ascii="Calibri" w:hAnsi="Calibri" w:cs="Calibri"/>
        </w:rPr>
      </w:pPr>
      <w:r>
        <w:rPr>
          <w:rFonts w:ascii="Calibri" w:hAnsi="Calibri" w:cs="Calibri"/>
          <w:b/>
          <w:bCs/>
          <w:i/>
          <w:iCs/>
        </w:rPr>
        <w:t>Code of Iowa</w:t>
      </w:r>
      <w:r w:rsidRPr="0081691E">
        <w:rPr>
          <w:rFonts w:ascii="Calibri" w:hAnsi="Calibri" w:cs="Calibri"/>
          <w:b/>
          <w:bCs/>
          <w:i/>
          <w:iCs/>
        </w:rPr>
        <w:t xml:space="preserve"> Chapter</w:t>
      </w:r>
      <w:r w:rsidRPr="0081691E">
        <w:rPr>
          <w:rFonts w:ascii="Calibri" w:hAnsi="Calibri" w:cs="Calibri"/>
        </w:rPr>
        <w:t xml:space="preserve"> </w:t>
      </w:r>
      <w:r w:rsidRPr="0081691E">
        <w:rPr>
          <w:rFonts w:ascii="Calibri" w:hAnsi="Calibri" w:cs="Calibri"/>
          <w:b/>
          <w:bCs/>
          <w:i/>
          <w:iCs/>
        </w:rPr>
        <w:t xml:space="preserve">21.5 Closed </w:t>
      </w:r>
      <w:r w:rsidR="00BD348D">
        <w:rPr>
          <w:rFonts w:ascii="Calibri" w:hAnsi="Calibri" w:cs="Calibri"/>
          <w:b/>
          <w:bCs/>
          <w:i/>
          <w:iCs/>
        </w:rPr>
        <w:t>S</w:t>
      </w:r>
      <w:r w:rsidRPr="0081691E">
        <w:rPr>
          <w:rFonts w:ascii="Calibri" w:hAnsi="Calibri" w:cs="Calibri"/>
          <w:b/>
          <w:bCs/>
          <w:i/>
          <w:iCs/>
        </w:rPr>
        <w:t>ession</w:t>
      </w:r>
    </w:p>
    <w:p w14:paraId="3536EAAB" w14:textId="3C5EC6C7" w:rsidR="0081691E" w:rsidRDefault="0081691E" w:rsidP="00B36AA9">
      <w:pPr>
        <w:pStyle w:val="ListParagraph"/>
        <w:numPr>
          <w:ilvl w:val="0"/>
          <w:numId w:val="4"/>
        </w:numPr>
        <w:spacing w:after="120" w:line="240" w:lineRule="auto"/>
        <w:ind w:left="360" w:right="450"/>
        <w:rPr>
          <w:rFonts w:ascii="Calibri" w:hAnsi="Calibri" w:cs="Calibri"/>
          <w:i/>
          <w:iCs/>
        </w:rPr>
      </w:pPr>
      <w:r w:rsidRPr="00611608">
        <w:rPr>
          <w:rFonts w:ascii="Calibri" w:hAnsi="Calibri" w:cs="Calibri"/>
          <w:i/>
          <w:iCs/>
        </w:rPr>
        <w:t xml:space="preserve">A governmental body may hold a closed session only by affirmative public vote of either </w:t>
      </w:r>
      <w:r w:rsidRPr="00611608">
        <w:rPr>
          <w:rFonts w:ascii="Calibri" w:hAnsi="Calibri" w:cs="Calibri"/>
          <w:b/>
          <w:bCs/>
          <w:i/>
          <w:iCs/>
        </w:rPr>
        <w:t>two-thirds of the members of the body or all of the members present</w:t>
      </w:r>
      <w:r w:rsidRPr="00611608">
        <w:rPr>
          <w:rFonts w:ascii="Calibri" w:hAnsi="Calibri" w:cs="Calibri"/>
          <w:i/>
          <w:iCs/>
        </w:rPr>
        <w:t xml:space="preserve"> at the meeting.</w:t>
      </w:r>
      <w:r w:rsidR="00611608" w:rsidRPr="00611608">
        <w:rPr>
          <w:rFonts w:ascii="Calibri" w:hAnsi="Calibri" w:cs="Calibri"/>
          <w:i/>
          <w:iCs/>
        </w:rPr>
        <w:t xml:space="preserve"> A governmental body may hold a closed session only to the </w:t>
      </w:r>
      <w:proofErr w:type="gramStart"/>
      <w:r w:rsidR="00611608" w:rsidRPr="00611608">
        <w:rPr>
          <w:rFonts w:ascii="Calibri" w:hAnsi="Calibri" w:cs="Calibri"/>
          <w:i/>
          <w:iCs/>
        </w:rPr>
        <w:t>extent</w:t>
      </w:r>
      <w:proofErr w:type="gramEnd"/>
      <w:r w:rsidR="00611608" w:rsidRPr="00611608">
        <w:rPr>
          <w:rFonts w:ascii="Calibri" w:hAnsi="Calibri" w:cs="Calibri"/>
          <w:i/>
          <w:iCs/>
        </w:rPr>
        <w:t xml:space="preserve"> a closed session is necessary for any of the following reasons:</w:t>
      </w:r>
    </w:p>
    <w:p w14:paraId="29DE0EF9" w14:textId="77777777" w:rsidR="00B36AA9" w:rsidRPr="00611608" w:rsidRDefault="00B36AA9" w:rsidP="00B36AA9">
      <w:pPr>
        <w:pStyle w:val="ListParagraph"/>
        <w:spacing w:after="0" w:line="240" w:lineRule="exact"/>
        <w:ind w:left="360" w:right="446"/>
        <w:rPr>
          <w:rFonts w:ascii="Calibri" w:hAnsi="Calibri" w:cs="Calibri"/>
          <w:i/>
          <w:iCs/>
        </w:rPr>
      </w:pPr>
    </w:p>
    <w:p w14:paraId="30048C03" w14:textId="35B5D175" w:rsidR="00611608" w:rsidRDefault="00611608" w:rsidP="00F51836">
      <w:pPr>
        <w:pStyle w:val="ListParagraph"/>
        <w:numPr>
          <w:ilvl w:val="0"/>
          <w:numId w:val="5"/>
        </w:numPr>
        <w:spacing w:after="120" w:line="240" w:lineRule="auto"/>
        <w:contextualSpacing w:val="0"/>
        <w:rPr>
          <w:rFonts w:ascii="Calibri" w:hAnsi="Calibri" w:cs="Calibri"/>
          <w:i/>
          <w:iCs/>
        </w:rPr>
      </w:pPr>
      <w:r w:rsidRPr="00611608">
        <w:rPr>
          <w:rFonts w:ascii="Calibri" w:hAnsi="Calibri" w:cs="Calibri"/>
          <w:i/>
          <w:iCs/>
        </w:rPr>
        <w:t>To review or discuss records which are required or authorized by state or federal law to be kept confidential or to be kept confidential as a condition for that governmental body’s possession or continued receipt of federal funds.</w:t>
      </w:r>
    </w:p>
    <w:p w14:paraId="47021393" w14:textId="2B1DA8B1" w:rsidR="00F51836" w:rsidRPr="00611608" w:rsidRDefault="00F51836" w:rsidP="00F51836">
      <w:pPr>
        <w:pStyle w:val="ListParagraph"/>
        <w:numPr>
          <w:ilvl w:val="0"/>
          <w:numId w:val="5"/>
        </w:numPr>
        <w:spacing w:after="120" w:line="240" w:lineRule="auto"/>
        <w:contextualSpacing w:val="0"/>
        <w:rPr>
          <w:rFonts w:ascii="Calibri" w:hAnsi="Calibri" w:cs="Calibri"/>
          <w:i/>
          <w:iCs/>
        </w:rPr>
      </w:pPr>
      <w:r>
        <w:rPr>
          <w:rFonts w:ascii="Calibri" w:hAnsi="Calibri" w:cs="Calibri"/>
          <w:i/>
          <w:iCs/>
        </w:rPr>
        <w:t>(omitted – not pertinent to libraries)</w:t>
      </w:r>
    </w:p>
    <w:p w14:paraId="397C2EED" w14:textId="20F5F96C" w:rsidR="00611608" w:rsidRDefault="00611608" w:rsidP="00F51836">
      <w:pPr>
        <w:pStyle w:val="ListParagraph"/>
        <w:numPr>
          <w:ilvl w:val="0"/>
          <w:numId w:val="5"/>
        </w:numPr>
        <w:spacing w:before="120" w:after="120" w:line="240" w:lineRule="auto"/>
        <w:contextualSpacing w:val="0"/>
        <w:rPr>
          <w:rFonts w:ascii="Calibri" w:hAnsi="Calibri" w:cs="Calibri"/>
          <w:i/>
          <w:iCs/>
        </w:rPr>
      </w:pPr>
      <w:r w:rsidRPr="00611608">
        <w:rPr>
          <w:rFonts w:ascii="Calibri" w:hAnsi="Calibri" w:cs="Calibri"/>
          <w:i/>
          <w:iCs/>
        </w:rPr>
        <w:t>To discuss strategy with counsel in matters that are presently in litigation or where litigation is imminent where its disclosure would be likely to prejudice or disadvantage the position of the governmental body in that litigation.</w:t>
      </w:r>
      <w:r w:rsidR="00F51836">
        <w:rPr>
          <w:rFonts w:ascii="Calibri" w:hAnsi="Calibri" w:cs="Calibri"/>
          <w:i/>
          <w:iCs/>
        </w:rPr>
        <w:br/>
      </w:r>
    </w:p>
    <w:p w14:paraId="4103AAF4" w14:textId="75759807" w:rsidR="00F51836" w:rsidRDefault="00F51836" w:rsidP="00F51836">
      <w:pPr>
        <w:pStyle w:val="ListParagraph"/>
        <w:numPr>
          <w:ilvl w:val="0"/>
          <w:numId w:val="5"/>
        </w:numPr>
        <w:spacing w:after="0" w:line="240" w:lineRule="auto"/>
        <w:contextualSpacing w:val="0"/>
        <w:rPr>
          <w:rFonts w:ascii="Calibri" w:hAnsi="Calibri" w:cs="Calibri"/>
          <w:i/>
          <w:iCs/>
        </w:rPr>
      </w:pPr>
      <w:r>
        <w:rPr>
          <w:rFonts w:ascii="Calibri" w:hAnsi="Calibri" w:cs="Calibri"/>
          <w:i/>
          <w:iCs/>
        </w:rPr>
        <w:lastRenderedPageBreak/>
        <w:t>(omitted – not pertinent to libraries)</w:t>
      </w:r>
    </w:p>
    <w:p w14:paraId="76F72C5F" w14:textId="036E3FD6" w:rsidR="00F51836" w:rsidRDefault="00F51836" w:rsidP="00F51836">
      <w:pPr>
        <w:pStyle w:val="ListParagraph"/>
        <w:numPr>
          <w:ilvl w:val="0"/>
          <w:numId w:val="5"/>
        </w:numPr>
        <w:spacing w:after="0" w:line="240" w:lineRule="auto"/>
        <w:contextualSpacing w:val="0"/>
        <w:rPr>
          <w:rFonts w:ascii="Calibri" w:hAnsi="Calibri" w:cs="Calibri"/>
          <w:i/>
          <w:iCs/>
        </w:rPr>
      </w:pPr>
      <w:r>
        <w:rPr>
          <w:rFonts w:ascii="Calibri" w:hAnsi="Calibri" w:cs="Calibri"/>
          <w:i/>
          <w:iCs/>
        </w:rPr>
        <w:t>(omitted – not pertinent to libraries)</w:t>
      </w:r>
    </w:p>
    <w:p w14:paraId="36EE3AEA" w14:textId="6C56E637" w:rsidR="00F51836" w:rsidRDefault="00F51836" w:rsidP="00F51836">
      <w:pPr>
        <w:pStyle w:val="ListParagraph"/>
        <w:numPr>
          <w:ilvl w:val="0"/>
          <w:numId w:val="5"/>
        </w:numPr>
        <w:spacing w:after="0" w:line="240" w:lineRule="auto"/>
        <w:contextualSpacing w:val="0"/>
        <w:rPr>
          <w:rFonts w:ascii="Calibri" w:hAnsi="Calibri" w:cs="Calibri"/>
          <w:i/>
          <w:iCs/>
        </w:rPr>
      </w:pPr>
      <w:r>
        <w:rPr>
          <w:rFonts w:ascii="Calibri" w:hAnsi="Calibri" w:cs="Calibri"/>
          <w:i/>
          <w:iCs/>
        </w:rPr>
        <w:t>(omitted – not pertinent to libraries)</w:t>
      </w:r>
    </w:p>
    <w:p w14:paraId="6AA35D45" w14:textId="183E169B" w:rsidR="00F51836" w:rsidRPr="00611608" w:rsidRDefault="00F51836" w:rsidP="00F51836">
      <w:pPr>
        <w:pStyle w:val="ListParagraph"/>
        <w:numPr>
          <w:ilvl w:val="0"/>
          <w:numId w:val="5"/>
        </w:numPr>
        <w:spacing w:after="120" w:line="240" w:lineRule="auto"/>
        <w:contextualSpacing w:val="0"/>
        <w:rPr>
          <w:rFonts w:ascii="Calibri" w:hAnsi="Calibri" w:cs="Calibri"/>
          <w:i/>
          <w:iCs/>
        </w:rPr>
      </w:pPr>
      <w:r>
        <w:rPr>
          <w:rFonts w:ascii="Calibri" w:hAnsi="Calibri" w:cs="Calibri"/>
          <w:i/>
          <w:iCs/>
        </w:rPr>
        <w:t>(omitted – not pertinent to libraries)</w:t>
      </w:r>
    </w:p>
    <w:p w14:paraId="481B7CFE" w14:textId="77777777" w:rsidR="00611608" w:rsidRPr="00611608" w:rsidRDefault="00611608" w:rsidP="00B36AA9">
      <w:pPr>
        <w:pStyle w:val="ListParagraph"/>
        <w:spacing w:before="120" w:after="120" w:line="240" w:lineRule="auto"/>
        <w:ind w:left="634" w:hanging="274"/>
        <w:contextualSpacing w:val="0"/>
        <w:rPr>
          <w:rFonts w:ascii="Calibri" w:hAnsi="Calibri" w:cs="Calibri"/>
          <w:i/>
          <w:iCs/>
        </w:rPr>
      </w:pPr>
      <w:proofErr w:type="gramStart"/>
      <w:r w:rsidRPr="00611608">
        <w:rPr>
          <w:rFonts w:ascii="Calibri" w:hAnsi="Calibri" w:cs="Calibri"/>
          <w:b/>
          <w:bCs/>
          <w:i/>
          <w:iCs/>
        </w:rPr>
        <w:t>h</w:t>
      </w:r>
      <w:r w:rsidRPr="00611608">
        <w:rPr>
          <w:rFonts w:ascii="Calibri" w:hAnsi="Calibri" w:cs="Calibri"/>
          <w:i/>
          <w:iCs/>
        </w:rPr>
        <w:t>. To</w:t>
      </w:r>
      <w:proofErr w:type="gramEnd"/>
      <w:r w:rsidRPr="00611608">
        <w:rPr>
          <w:rFonts w:ascii="Calibri" w:hAnsi="Calibri" w:cs="Calibri"/>
          <w:i/>
          <w:iCs/>
        </w:rPr>
        <w:t xml:space="preserve"> avoid disclosure of specific law enforcement matters, such as allowable tolerances or criteria for the selection, prosecution, or settlement of cases, which if disclosed would facilitate disregard of requirements imposed by law.</w:t>
      </w:r>
    </w:p>
    <w:p w14:paraId="6197088B" w14:textId="77777777" w:rsidR="00611608" w:rsidRPr="00611608" w:rsidRDefault="00611608" w:rsidP="00B36AA9">
      <w:pPr>
        <w:pStyle w:val="ListParagraph"/>
        <w:spacing w:before="120" w:after="120" w:line="240" w:lineRule="auto"/>
        <w:ind w:left="634" w:hanging="274"/>
        <w:contextualSpacing w:val="0"/>
        <w:rPr>
          <w:rFonts w:ascii="Calibri" w:hAnsi="Calibri" w:cs="Calibri"/>
          <w:i/>
          <w:iCs/>
        </w:rPr>
      </w:pPr>
      <w:proofErr w:type="spellStart"/>
      <w:r w:rsidRPr="00611608">
        <w:rPr>
          <w:rFonts w:ascii="Calibri" w:hAnsi="Calibri" w:cs="Calibri"/>
          <w:b/>
          <w:bCs/>
          <w:i/>
          <w:iCs/>
        </w:rPr>
        <w:t>i</w:t>
      </w:r>
      <w:proofErr w:type="spellEnd"/>
      <w:r w:rsidRPr="00611608">
        <w:rPr>
          <w:rFonts w:ascii="Calibri" w:hAnsi="Calibri" w:cs="Calibri"/>
          <w:i/>
          <w:iCs/>
        </w:rPr>
        <w:t>. To evaluate the professional competency of an individual whose appointment, hiring, performance, or discharge is being considered when necessary to prevent needless and irreparable injury to that individual’s reputation and that individual requests a closed session.</w:t>
      </w:r>
    </w:p>
    <w:p w14:paraId="54903C1B" w14:textId="7A2FA864" w:rsidR="00611608" w:rsidRPr="00611608" w:rsidRDefault="00611608" w:rsidP="00B36AA9">
      <w:pPr>
        <w:pStyle w:val="ListParagraph"/>
        <w:spacing w:before="120" w:after="120" w:line="240" w:lineRule="auto"/>
        <w:ind w:left="634" w:right="450" w:hanging="274"/>
        <w:contextualSpacing w:val="0"/>
        <w:rPr>
          <w:rFonts w:ascii="Calibri" w:hAnsi="Calibri" w:cs="Calibri"/>
          <w:i/>
          <w:iCs/>
        </w:rPr>
      </w:pPr>
      <w:r w:rsidRPr="000B42FA">
        <w:rPr>
          <w:rFonts w:ascii="Calibri" w:hAnsi="Calibri" w:cs="Calibri"/>
          <w:b/>
          <w:bCs/>
          <w:i/>
          <w:iCs/>
        </w:rPr>
        <w:t>j</w:t>
      </w:r>
      <w:r w:rsidRPr="00611608">
        <w:rPr>
          <w:rFonts w:ascii="Calibri" w:hAnsi="Calibri" w:cs="Calibri"/>
          <w:i/>
          <w:iCs/>
        </w:rPr>
        <w:t>. To discuss the purchase or sale of particular real estate only where premature disclosure could be reasonably expected to increase the price the governmental body would have to pay for that property or reduce the price the governmental body would receive for that property.</w:t>
      </w:r>
    </w:p>
    <w:p w14:paraId="455564FD" w14:textId="77777777" w:rsidR="00BD348D" w:rsidRDefault="00BD348D" w:rsidP="00B36AA9">
      <w:pPr>
        <w:spacing w:after="120" w:line="240" w:lineRule="auto"/>
        <w:ind w:left="270" w:right="450" w:hanging="270"/>
        <w:rPr>
          <w:rFonts w:ascii="Calibri" w:hAnsi="Calibri" w:cs="Calibri"/>
          <w:i/>
          <w:iCs/>
        </w:rPr>
      </w:pPr>
      <w:r w:rsidRPr="00BD348D">
        <w:rPr>
          <w:rFonts w:ascii="Calibri" w:hAnsi="Calibri" w:cs="Calibri"/>
          <w:b/>
          <w:bCs/>
          <w:i/>
          <w:iCs/>
        </w:rPr>
        <w:t>2</w:t>
      </w:r>
      <w:r w:rsidRPr="00BD348D">
        <w:rPr>
          <w:rFonts w:ascii="Calibri" w:hAnsi="Calibri" w:cs="Calibri"/>
          <w:i/>
          <w:iCs/>
        </w:rPr>
        <w:t xml:space="preserve">. The vote of each member on the question of holding the closed session and the reason for holding the closed session by reference to a specific exemption under this section shall be </w:t>
      </w:r>
      <w:r w:rsidRPr="00C241FE">
        <w:rPr>
          <w:rFonts w:ascii="Calibri" w:hAnsi="Calibri" w:cs="Calibri"/>
          <w:b/>
          <w:bCs/>
          <w:i/>
          <w:iCs/>
        </w:rPr>
        <w:t>announced publicly at the open session and entered in the minutes</w:t>
      </w:r>
      <w:r w:rsidRPr="00BD348D">
        <w:rPr>
          <w:rFonts w:ascii="Calibri" w:hAnsi="Calibri" w:cs="Calibri"/>
          <w:i/>
          <w:iCs/>
        </w:rPr>
        <w:t xml:space="preserve">. </w:t>
      </w:r>
    </w:p>
    <w:p w14:paraId="69DB49F9" w14:textId="4C2F156A" w:rsidR="00BD348D" w:rsidRPr="00C241FE" w:rsidRDefault="00BD348D" w:rsidP="00B36AA9">
      <w:pPr>
        <w:spacing w:after="120" w:line="240" w:lineRule="auto"/>
        <w:ind w:left="270" w:right="450"/>
        <w:rPr>
          <w:rFonts w:ascii="Calibri" w:hAnsi="Calibri" w:cs="Calibri"/>
          <w:b/>
          <w:bCs/>
          <w:i/>
          <w:iCs/>
        </w:rPr>
      </w:pPr>
      <w:r w:rsidRPr="00C241FE">
        <w:rPr>
          <w:rFonts w:ascii="Calibri" w:hAnsi="Calibri" w:cs="Calibri"/>
          <w:b/>
          <w:bCs/>
          <w:i/>
          <w:iCs/>
        </w:rPr>
        <w:t>A governmental body shall not discuss any business during a closed session which does not directly relate to the specific reason announced as justification for the closed session.</w:t>
      </w:r>
    </w:p>
    <w:p w14:paraId="1CB1D1FE" w14:textId="77777777" w:rsidR="00BD348D" w:rsidRPr="00BD348D" w:rsidRDefault="00BD348D" w:rsidP="00B36AA9">
      <w:pPr>
        <w:spacing w:after="120" w:line="240" w:lineRule="auto"/>
        <w:ind w:left="270" w:right="450" w:hanging="270"/>
        <w:rPr>
          <w:rFonts w:ascii="Calibri" w:hAnsi="Calibri" w:cs="Calibri"/>
          <w:i/>
          <w:iCs/>
        </w:rPr>
      </w:pPr>
      <w:r w:rsidRPr="00BD348D">
        <w:rPr>
          <w:rFonts w:ascii="Calibri" w:hAnsi="Calibri" w:cs="Calibri"/>
          <w:b/>
          <w:bCs/>
          <w:i/>
          <w:iCs/>
        </w:rPr>
        <w:t>3</w:t>
      </w:r>
      <w:r w:rsidRPr="00BD348D">
        <w:rPr>
          <w:rFonts w:ascii="Calibri" w:hAnsi="Calibri" w:cs="Calibri"/>
          <w:i/>
          <w:iCs/>
        </w:rPr>
        <w:t xml:space="preserve">. </w:t>
      </w:r>
      <w:r w:rsidRPr="00C241FE">
        <w:rPr>
          <w:rFonts w:ascii="Calibri" w:hAnsi="Calibri" w:cs="Calibri"/>
          <w:b/>
          <w:bCs/>
          <w:i/>
          <w:iCs/>
        </w:rPr>
        <w:t>Final action</w:t>
      </w:r>
      <w:r w:rsidRPr="00BD348D">
        <w:rPr>
          <w:rFonts w:ascii="Calibri" w:hAnsi="Calibri" w:cs="Calibri"/>
          <w:i/>
          <w:iCs/>
        </w:rPr>
        <w:t xml:space="preserve"> by any governmental body on any matter shall be taken </w:t>
      </w:r>
      <w:r w:rsidRPr="00C241FE">
        <w:rPr>
          <w:rFonts w:ascii="Calibri" w:hAnsi="Calibri" w:cs="Calibri"/>
          <w:b/>
          <w:bCs/>
          <w:i/>
          <w:iCs/>
        </w:rPr>
        <w:t>in an open session</w:t>
      </w:r>
      <w:r w:rsidRPr="00BD348D">
        <w:rPr>
          <w:rFonts w:ascii="Calibri" w:hAnsi="Calibri" w:cs="Calibri"/>
          <w:i/>
          <w:iCs/>
        </w:rPr>
        <w:t xml:space="preserve"> unless some other provision of the Code expressly permits such actions to be taken in closed session.</w:t>
      </w:r>
    </w:p>
    <w:p w14:paraId="6CD1AC67" w14:textId="77777777" w:rsidR="00BD348D" w:rsidRPr="00BD348D" w:rsidRDefault="00BD348D" w:rsidP="00B36AA9">
      <w:pPr>
        <w:spacing w:after="120" w:line="240" w:lineRule="auto"/>
        <w:ind w:left="270" w:right="450" w:hanging="270"/>
        <w:rPr>
          <w:rFonts w:ascii="Calibri" w:hAnsi="Calibri" w:cs="Calibri"/>
          <w:i/>
          <w:iCs/>
        </w:rPr>
      </w:pPr>
      <w:r w:rsidRPr="00BD348D">
        <w:rPr>
          <w:rFonts w:ascii="Calibri" w:hAnsi="Calibri" w:cs="Calibri"/>
          <w:b/>
          <w:bCs/>
          <w:i/>
          <w:iCs/>
        </w:rPr>
        <w:t>4</w:t>
      </w:r>
      <w:r w:rsidRPr="00BD348D">
        <w:rPr>
          <w:rFonts w:ascii="Calibri" w:hAnsi="Calibri" w:cs="Calibri"/>
          <w:i/>
          <w:iCs/>
        </w:rPr>
        <w:t>. A governmental body shall not exclude a member of the governmental body from attending a closed session, unless the member’s attendance at the closed session creates a conflict of interest for the member due to the specific reason announced as justification for holding the closed session.</w:t>
      </w:r>
    </w:p>
    <w:p w14:paraId="23267055" w14:textId="42CFCEEC" w:rsidR="00BD348D" w:rsidRDefault="00BD348D" w:rsidP="00B36AA9">
      <w:pPr>
        <w:spacing w:after="120" w:line="240" w:lineRule="auto"/>
        <w:ind w:left="270" w:right="450" w:hanging="270"/>
        <w:rPr>
          <w:rFonts w:ascii="Calibri" w:hAnsi="Calibri" w:cs="Calibri"/>
          <w:i/>
          <w:iCs/>
        </w:rPr>
      </w:pPr>
      <w:r w:rsidRPr="00BD348D">
        <w:rPr>
          <w:rFonts w:ascii="Calibri" w:hAnsi="Calibri" w:cs="Calibri"/>
          <w:b/>
          <w:bCs/>
          <w:i/>
          <w:iCs/>
        </w:rPr>
        <w:t>5</w:t>
      </w:r>
      <w:r w:rsidRPr="00BD348D">
        <w:rPr>
          <w:rFonts w:ascii="Calibri" w:hAnsi="Calibri" w:cs="Calibri"/>
          <w:i/>
          <w:iCs/>
        </w:rPr>
        <w:t xml:space="preserve">. </w:t>
      </w:r>
      <w:r w:rsidRPr="00BD348D">
        <w:rPr>
          <w:rFonts w:ascii="Calibri" w:hAnsi="Calibri" w:cs="Calibri"/>
          <w:b/>
          <w:bCs/>
          <w:i/>
          <w:iCs/>
        </w:rPr>
        <w:t>a</w:t>
      </w:r>
      <w:r w:rsidRPr="00BD348D">
        <w:rPr>
          <w:rFonts w:ascii="Calibri" w:hAnsi="Calibri" w:cs="Calibri"/>
          <w:i/>
          <w:iCs/>
        </w:rPr>
        <w:t xml:space="preserve">. A governmental body </w:t>
      </w:r>
      <w:proofErr w:type="gramStart"/>
      <w:r w:rsidRPr="00BD348D">
        <w:rPr>
          <w:rFonts w:ascii="Calibri" w:hAnsi="Calibri" w:cs="Calibri"/>
          <w:i/>
          <w:iCs/>
        </w:rPr>
        <w:t>shall</w:t>
      </w:r>
      <w:proofErr w:type="gramEnd"/>
      <w:r w:rsidRPr="00BD348D">
        <w:rPr>
          <w:rFonts w:ascii="Calibri" w:hAnsi="Calibri" w:cs="Calibri"/>
          <w:i/>
          <w:iCs/>
        </w:rPr>
        <w:t xml:space="preserve"> keep </w:t>
      </w:r>
      <w:r w:rsidRPr="00C241FE">
        <w:rPr>
          <w:rFonts w:ascii="Calibri" w:hAnsi="Calibri" w:cs="Calibri"/>
          <w:b/>
          <w:bCs/>
          <w:i/>
          <w:iCs/>
        </w:rPr>
        <w:t>detailed minutes</w:t>
      </w:r>
      <w:r w:rsidRPr="00BD348D">
        <w:rPr>
          <w:rFonts w:ascii="Calibri" w:hAnsi="Calibri" w:cs="Calibri"/>
          <w:i/>
          <w:iCs/>
        </w:rPr>
        <w:t xml:space="preserve"> of all discussion, persons present, and action occurring at a closed session, and shall </w:t>
      </w:r>
      <w:proofErr w:type="gramStart"/>
      <w:r w:rsidRPr="00BD348D">
        <w:rPr>
          <w:rFonts w:ascii="Calibri" w:hAnsi="Calibri" w:cs="Calibri"/>
          <w:i/>
          <w:iCs/>
        </w:rPr>
        <w:t xml:space="preserve">also </w:t>
      </w:r>
      <w:r w:rsidRPr="00C241FE">
        <w:rPr>
          <w:rFonts w:ascii="Calibri" w:hAnsi="Calibri" w:cs="Calibri"/>
          <w:b/>
          <w:bCs/>
          <w:i/>
          <w:iCs/>
        </w:rPr>
        <w:t>audio</w:t>
      </w:r>
      <w:proofErr w:type="gramEnd"/>
      <w:r w:rsidRPr="00C241FE">
        <w:rPr>
          <w:rFonts w:ascii="Calibri" w:hAnsi="Calibri" w:cs="Calibri"/>
          <w:b/>
          <w:bCs/>
          <w:i/>
          <w:iCs/>
        </w:rPr>
        <w:t xml:space="preserve"> record</w:t>
      </w:r>
      <w:r w:rsidRPr="00BD348D">
        <w:rPr>
          <w:rFonts w:ascii="Calibri" w:hAnsi="Calibri" w:cs="Calibri"/>
          <w:i/>
          <w:iCs/>
        </w:rPr>
        <w:t xml:space="preserve"> all of the closed session.</w:t>
      </w:r>
    </w:p>
    <w:p w14:paraId="1E3ABD9A" w14:textId="421040DB" w:rsidR="00BD348D" w:rsidRDefault="00BD348D" w:rsidP="00B36AA9">
      <w:pPr>
        <w:spacing w:after="120" w:line="240" w:lineRule="auto"/>
        <w:ind w:left="270" w:right="450" w:hanging="270"/>
        <w:rPr>
          <w:rFonts w:ascii="Calibri" w:hAnsi="Calibri" w:cs="Calibri"/>
          <w:i/>
          <w:iCs/>
        </w:rPr>
      </w:pPr>
      <w:r w:rsidRPr="00BD348D">
        <w:rPr>
          <w:rFonts w:ascii="Calibri" w:hAnsi="Calibri" w:cs="Calibri"/>
          <w:b/>
          <w:bCs/>
          <w:i/>
          <w:iCs/>
        </w:rPr>
        <w:t>5</w:t>
      </w:r>
      <w:r w:rsidRPr="00BD348D">
        <w:rPr>
          <w:rFonts w:ascii="Calibri" w:hAnsi="Calibri" w:cs="Calibri"/>
          <w:i/>
          <w:iCs/>
        </w:rPr>
        <w:t xml:space="preserve">. </w:t>
      </w:r>
      <w:r w:rsidRPr="00BD348D">
        <w:rPr>
          <w:rFonts w:ascii="Calibri" w:hAnsi="Calibri" w:cs="Calibri"/>
          <w:b/>
          <w:bCs/>
          <w:i/>
          <w:iCs/>
        </w:rPr>
        <w:t>b</w:t>
      </w:r>
      <w:r w:rsidRPr="00BD348D">
        <w:rPr>
          <w:rFonts w:ascii="Calibri" w:hAnsi="Calibri" w:cs="Calibri"/>
          <w:i/>
          <w:iCs/>
        </w:rPr>
        <w:t>. (</w:t>
      </w:r>
      <w:r w:rsidRPr="00B8669B">
        <w:rPr>
          <w:rFonts w:ascii="Calibri" w:hAnsi="Calibri" w:cs="Calibri"/>
          <w:b/>
          <w:bCs/>
          <w:i/>
          <w:iCs/>
        </w:rPr>
        <w:t>1</w:t>
      </w:r>
      <w:r w:rsidRPr="00BD348D">
        <w:rPr>
          <w:rFonts w:ascii="Calibri" w:hAnsi="Calibri" w:cs="Calibri"/>
          <w:i/>
          <w:iCs/>
        </w:rPr>
        <w:t xml:space="preserve">) The detailed minutes and audio recording of a closed session shall be sealed and shall not </w:t>
      </w:r>
      <w:proofErr w:type="gramStart"/>
      <w:r w:rsidRPr="00BD348D">
        <w:rPr>
          <w:rFonts w:ascii="Calibri" w:hAnsi="Calibri" w:cs="Calibri"/>
          <w:i/>
          <w:iCs/>
        </w:rPr>
        <w:t>be public records</w:t>
      </w:r>
      <w:proofErr w:type="gramEnd"/>
      <w:r w:rsidRPr="00BD348D">
        <w:rPr>
          <w:rFonts w:ascii="Calibri" w:hAnsi="Calibri" w:cs="Calibri"/>
          <w:i/>
          <w:iCs/>
        </w:rPr>
        <w:t xml:space="preserve"> open to public inspection.</w:t>
      </w:r>
    </w:p>
    <w:p w14:paraId="226A410F" w14:textId="156823B1" w:rsidR="00296563" w:rsidRPr="00296563" w:rsidRDefault="00296563" w:rsidP="00B36AA9">
      <w:pPr>
        <w:spacing w:after="0" w:line="240" w:lineRule="auto"/>
        <w:ind w:left="270" w:right="446" w:hanging="270"/>
        <w:rPr>
          <w:rFonts w:ascii="Calibri" w:hAnsi="Calibri" w:cs="Calibri"/>
          <w:i/>
          <w:iCs/>
        </w:rPr>
      </w:pPr>
      <w:r w:rsidRPr="00296563">
        <w:rPr>
          <w:rFonts w:ascii="Calibri" w:hAnsi="Calibri" w:cs="Calibri"/>
          <w:b/>
          <w:bCs/>
          <w:i/>
          <w:iCs/>
        </w:rPr>
        <w:t>6</w:t>
      </w:r>
      <w:r w:rsidRPr="00296563">
        <w:rPr>
          <w:rFonts w:ascii="Calibri" w:hAnsi="Calibri" w:cs="Calibri"/>
          <w:i/>
          <w:iCs/>
        </w:rPr>
        <w:t>. Nothing in this section requires a governmental body to hold a closed session to discuss or act upon any matter</w:t>
      </w:r>
      <w:r>
        <w:rPr>
          <w:rFonts w:ascii="Calibri" w:hAnsi="Calibri" w:cs="Calibri"/>
          <w:i/>
          <w:iCs/>
        </w:rPr>
        <w:t>.</w:t>
      </w:r>
    </w:p>
    <w:p w14:paraId="10A335B2" w14:textId="1CD67ADD" w:rsidR="00214F1E" w:rsidRPr="000B42FA" w:rsidRDefault="000B42FA" w:rsidP="00611608">
      <w:pPr>
        <w:spacing w:after="120" w:line="260" w:lineRule="exact"/>
        <w:jc w:val="right"/>
        <w:rPr>
          <w:rFonts w:ascii="Calibri" w:hAnsi="Calibri" w:cs="Calibri"/>
          <w:i/>
          <w:iCs/>
          <w:lang w:val="fr-FR"/>
        </w:rPr>
      </w:pPr>
      <w:proofErr w:type="gramStart"/>
      <w:r w:rsidRPr="000B42FA">
        <w:rPr>
          <w:rFonts w:ascii="Calibri" w:hAnsi="Calibri" w:cs="Calibri"/>
          <w:sz w:val="20"/>
          <w:szCs w:val="20"/>
          <w:lang w:val="fr-FR"/>
        </w:rPr>
        <w:t>Source:</w:t>
      </w:r>
      <w:proofErr w:type="gramEnd"/>
      <w:r w:rsidRPr="000B42FA">
        <w:rPr>
          <w:rFonts w:ascii="Calibri" w:hAnsi="Calibri" w:cs="Calibri"/>
          <w:i/>
          <w:iCs/>
          <w:sz w:val="20"/>
          <w:szCs w:val="20"/>
          <w:lang w:val="fr-FR"/>
        </w:rPr>
        <w:t xml:space="preserve"> </w:t>
      </w:r>
      <w:r w:rsidR="009D0FB9" w:rsidRPr="000B42FA">
        <w:rPr>
          <w:rFonts w:ascii="Calibri" w:hAnsi="Calibri" w:cs="Calibri"/>
          <w:i/>
          <w:iCs/>
          <w:sz w:val="20"/>
          <w:szCs w:val="20"/>
          <w:lang w:val="fr-FR"/>
        </w:rPr>
        <w:t>https://www.legis.iowa.gov/docs/ico/chapter/21.pdf</w:t>
      </w:r>
    </w:p>
    <w:sectPr w:rsidR="00214F1E" w:rsidRPr="000B42FA" w:rsidSect="004A1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E89"/>
    <w:multiLevelType w:val="hybridMultilevel"/>
    <w:tmpl w:val="C7DE334C"/>
    <w:lvl w:ilvl="0" w:tplc="AC90845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1221BDD"/>
    <w:multiLevelType w:val="multilevel"/>
    <w:tmpl w:val="2AC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C0E8D"/>
    <w:multiLevelType w:val="hybridMultilevel"/>
    <w:tmpl w:val="638EA60C"/>
    <w:lvl w:ilvl="0" w:tplc="5F0826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32893"/>
    <w:multiLevelType w:val="hybridMultilevel"/>
    <w:tmpl w:val="8F28721A"/>
    <w:lvl w:ilvl="0" w:tplc="7340B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B5946"/>
    <w:multiLevelType w:val="multilevel"/>
    <w:tmpl w:val="186E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814815">
    <w:abstractNumId w:val="1"/>
  </w:num>
  <w:num w:numId="2" w16cid:durableId="1018849717">
    <w:abstractNumId w:val="4"/>
  </w:num>
  <w:num w:numId="3" w16cid:durableId="1879781079">
    <w:abstractNumId w:val="3"/>
  </w:num>
  <w:num w:numId="4" w16cid:durableId="1365252719">
    <w:abstractNumId w:val="0"/>
  </w:num>
  <w:num w:numId="5" w16cid:durableId="617641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97"/>
    <w:rsid w:val="00021ABF"/>
    <w:rsid w:val="000B42FA"/>
    <w:rsid w:val="00184525"/>
    <w:rsid w:val="001C1749"/>
    <w:rsid w:val="002107AF"/>
    <w:rsid w:val="00214F1E"/>
    <w:rsid w:val="00296563"/>
    <w:rsid w:val="00331103"/>
    <w:rsid w:val="00446011"/>
    <w:rsid w:val="004618CB"/>
    <w:rsid w:val="00484CD9"/>
    <w:rsid w:val="004A12EC"/>
    <w:rsid w:val="004F1515"/>
    <w:rsid w:val="00567434"/>
    <w:rsid w:val="0058524B"/>
    <w:rsid w:val="005C3B2F"/>
    <w:rsid w:val="00611608"/>
    <w:rsid w:val="007F46FC"/>
    <w:rsid w:val="0081691E"/>
    <w:rsid w:val="00852CE3"/>
    <w:rsid w:val="00886469"/>
    <w:rsid w:val="009605D2"/>
    <w:rsid w:val="009D0FB9"/>
    <w:rsid w:val="009E12CD"/>
    <w:rsid w:val="00A92F97"/>
    <w:rsid w:val="00B36AA9"/>
    <w:rsid w:val="00B81322"/>
    <w:rsid w:val="00B8669B"/>
    <w:rsid w:val="00BD348D"/>
    <w:rsid w:val="00C241FE"/>
    <w:rsid w:val="00C93ACF"/>
    <w:rsid w:val="00CC574B"/>
    <w:rsid w:val="00D854A0"/>
    <w:rsid w:val="00E2458B"/>
    <w:rsid w:val="00F51836"/>
    <w:rsid w:val="00F5445B"/>
    <w:rsid w:val="00F63A94"/>
    <w:rsid w:val="00F86023"/>
    <w:rsid w:val="00FD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3522"/>
  <w15:chartTrackingRefBased/>
  <w15:docId w15:val="{642F7186-254D-4559-95A6-930A88C5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F97"/>
    <w:rPr>
      <w:rFonts w:eastAsiaTheme="majorEastAsia" w:cstheme="majorBidi"/>
      <w:color w:val="272727" w:themeColor="text1" w:themeTint="D8"/>
    </w:rPr>
  </w:style>
  <w:style w:type="paragraph" w:styleId="Title">
    <w:name w:val="Title"/>
    <w:basedOn w:val="Normal"/>
    <w:next w:val="Normal"/>
    <w:link w:val="TitleChar"/>
    <w:uiPriority w:val="10"/>
    <w:qFormat/>
    <w:rsid w:val="00A9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F97"/>
    <w:pPr>
      <w:spacing w:before="160"/>
      <w:jc w:val="center"/>
    </w:pPr>
    <w:rPr>
      <w:i/>
      <w:iCs/>
      <w:color w:val="404040" w:themeColor="text1" w:themeTint="BF"/>
    </w:rPr>
  </w:style>
  <w:style w:type="character" w:customStyle="1" w:styleId="QuoteChar">
    <w:name w:val="Quote Char"/>
    <w:basedOn w:val="DefaultParagraphFont"/>
    <w:link w:val="Quote"/>
    <w:uiPriority w:val="29"/>
    <w:rsid w:val="00A92F97"/>
    <w:rPr>
      <w:i/>
      <w:iCs/>
      <w:color w:val="404040" w:themeColor="text1" w:themeTint="BF"/>
    </w:rPr>
  </w:style>
  <w:style w:type="paragraph" w:styleId="ListParagraph">
    <w:name w:val="List Paragraph"/>
    <w:basedOn w:val="Normal"/>
    <w:uiPriority w:val="34"/>
    <w:qFormat/>
    <w:rsid w:val="00A92F97"/>
    <w:pPr>
      <w:ind w:left="720"/>
      <w:contextualSpacing/>
    </w:pPr>
  </w:style>
  <w:style w:type="character" w:styleId="IntenseEmphasis">
    <w:name w:val="Intense Emphasis"/>
    <w:basedOn w:val="DefaultParagraphFont"/>
    <w:uiPriority w:val="21"/>
    <w:qFormat/>
    <w:rsid w:val="00A92F97"/>
    <w:rPr>
      <w:i/>
      <w:iCs/>
      <w:color w:val="0F4761" w:themeColor="accent1" w:themeShade="BF"/>
    </w:rPr>
  </w:style>
  <w:style w:type="paragraph" w:styleId="IntenseQuote">
    <w:name w:val="Intense Quote"/>
    <w:basedOn w:val="Normal"/>
    <w:next w:val="Normal"/>
    <w:link w:val="IntenseQuoteChar"/>
    <w:uiPriority w:val="30"/>
    <w:qFormat/>
    <w:rsid w:val="00A9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F97"/>
    <w:rPr>
      <w:i/>
      <w:iCs/>
      <w:color w:val="0F4761" w:themeColor="accent1" w:themeShade="BF"/>
    </w:rPr>
  </w:style>
  <w:style w:type="character" w:styleId="IntenseReference">
    <w:name w:val="Intense Reference"/>
    <w:basedOn w:val="DefaultParagraphFont"/>
    <w:uiPriority w:val="32"/>
    <w:qFormat/>
    <w:rsid w:val="00A92F97"/>
    <w:rPr>
      <w:b/>
      <w:bCs/>
      <w:smallCaps/>
      <w:color w:val="0F4761" w:themeColor="accent1" w:themeShade="BF"/>
      <w:spacing w:val="5"/>
    </w:rPr>
  </w:style>
  <w:style w:type="character" w:styleId="Hyperlink">
    <w:name w:val="Hyperlink"/>
    <w:basedOn w:val="DefaultParagraphFont"/>
    <w:uiPriority w:val="99"/>
    <w:unhideWhenUsed/>
    <w:rsid w:val="00A92F97"/>
    <w:rPr>
      <w:color w:val="467886" w:themeColor="hyperlink"/>
      <w:u w:val="single"/>
    </w:rPr>
  </w:style>
  <w:style w:type="character" w:styleId="UnresolvedMention">
    <w:name w:val="Unresolved Mention"/>
    <w:basedOn w:val="DefaultParagraphFont"/>
    <w:uiPriority w:val="99"/>
    <w:semiHidden/>
    <w:unhideWhenUsed/>
    <w:rsid w:val="00A92F97"/>
    <w:rPr>
      <w:color w:val="605E5C"/>
      <w:shd w:val="clear" w:color="auto" w:fill="E1DFDD"/>
    </w:rPr>
  </w:style>
  <w:style w:type="character" w:styleId="FollowedHyperlink">
    <w:name w:val="FollowedHyperlink"/>
    <w:basedOn w:val="DefaultParagraphFont"/>
    <w:uiPriority w:val="99"/>
    <w:semiHidden/>
    <w:unhideWhenUsed/>
    <w:rsid w:val="005674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Murphy</dc:creator>
  <cp:keywords/>
  <dc:description/>
  <cp:lastModifiedBy>Kris Murphy</cp:lastModifiedBy>
  <cp:revision>2</cp:revision>
  <cp:lastPrinted>2025-10-07T18:53:00Z</cp:lastPrinted>
  <dcterms:created xsi:type="dcterms:W3CDTF">2026-03-12T18:23:00Z</dcterms:created>
  <dcterms:modified xsi:type="dcterms:W3CDTF">2026-03-12T18:23:00Z</dcterms:modified>
</cp:coreProperties>
</file>